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8E01CC1" w14:textId="77777777" w:rsidR="00BB708D" w:rsidRDefault="00D5386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TEISĖS AKTŲ PROJEKTŲ ANTIKORUPCINIO VERTINIMO PAŽYMA</w:t>
      </w:r>
    </w:p>
    <w:p w14:paraId="78E01CC2" w14:textId="77777777" w:rsidR="00BB708D" w:rsidRDefault="00BB708D">
      <w:pPr>
        <w:rPr>
          <w:sz w:val="22"/>
          <w:szCs w:val="22"/>
        </w:rPr>
      </w:pPr>
    </w:p>
    <w:p w14:paraId="78E01CC3" w14:textId="77777777" w:rsidR="00BB708D" w:rsidRDefault="00D5386E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Teisės akto projekto pavadinimas: Sprendimo  „D</w:t>
      </w:r>
      <w:r>
        <w:rPr>
          <w:lang w:eastAsia="lt-LT"/>
        </w:rPr>
        <w:t>ėl Šiaulių miesto savivaldybės infrastruktūros pripažinimo prioritetine kriterijų patvirtinimo ir Šiaulių miesto savivaldybės infrastruktūros pripažinimo prioritetine</w:t>
      </w:r>
      <w:r>
        <w:rPr>
          <w:sz w:val="22"/>
          <w:szCs w:val="22"/>
        </w:rPr>
        <w:t>“ projektas.</w:t>
      </w:r>
    </w:p>
    <w:p w14:paraId="78E01CC4" w14:textId="77777777" w:rsidR="00BB708D" w:rsidRDefault="00D5386E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Teisės akto projekto tiesioginis rengėjas: Juozas Varapnickas, vyr. specialis</w:t>
      </w:r>
      <w:r>
        <w:rPr>
          <w:sz w:val="22"/>
          <w:szCs w:val="22"/>
        </w:rPr>
        <w:t>tas</w:t>
      </w:r>
    </w:p>
    <w:p w14:paraId="78E01CC5" w14:textId="77777777" w:rsidR="00BB708D" w:rsidRDefault="00D5386E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Antikorupciniu požiūriu rizikingos teisės akto projekto nuostatos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(nurodyti kriterijaus numerį, kurį taikant nustatytai korupcijos rizikai šalinti ar valdyti teisės akto projekte nenumatyta priemonių)</w:t>
      </w:r>
      <w:r>
        <w:rPr>
          <w:rStyle w:val="FootnoteAnchor"/>
          <w:sz w:val="22"/>
          <w:szCs w:val="22"/>
        </w:rPr>
        <w:footnoteReference w:id="1"/>
      </w:r>
      <w:r>
        <w:rPr>
          <w:sz w:val="22"/>
          <w:szCs w:val="22"/>
        </w:rPr>
        <w:t xml:space="preserve">: </w:t>
      </w:r>
    </w:p>
    <w:p w14:paraId="78E01CC6" w14:textId="77777777" w:rsidR="00BB708D" w:rsidRDefault="00D5386E">
      <w:pPr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Antikorupciniu požiūriu rizikingos teisės akto </w:t>
      </w:r>
      <w:r>
        <w:rPr>
          <w:sz w:val="22"/>
          <w:szCs w:val="22"/>
        </w:rPr>
        <w:t>projekto nuostatos, nustatytos atliekant antikorupcinį vertinimą po tarpinstitucinio derinimo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(nurodyti kriterijaus numerį, kurį taikant nustatytai korupcijos rizikai šalinti ar valdyti teisės akto projekte nenumatyta priemonių)</w:t>
      </w:r>
      <w:r>
        <w:rPr>
          <w:rStyle w:val="FootnoteAnchor"/>
          <w:sz w:val="22"/>
          <w:szCs w:val="22"/>
        </w:rPr>
        <w:footnoteReference w:id="2"/>
      </w:r>
      <w:r>
        <w:rPr>
          <w:sz w:val="22"/>
          <w:szCs w:val="22"/>
        </w:rPr>
        <w:t>:</w:t>
      </w:r>
    </w:p>
    <w:p w14:paraId="78E01CC7" w14:textId="77777777" w:rsidR="00BB708D" w:rsidRDefault="00BB708D">
      <w:pPr>
        <w:jc w:val="both"/>
        <w:rPr>
          <w:sz w:val="22"/>
          <w:szCs w:val="22"/>
        </w:rPr>
      </w:pPr>
    </w:p>
    <w:tbl>
      <w:tblPr>
        <w:tblW w:w="14650" w:type="dxa"/>
        <w:tblInd w:w="108" w:type="dxa"/>
        <w:tblLook w:val="0000" w:firstRow="0" w:lastRow="0" w:firstColumn="0" w:lastColumn="0" w:noHBand="0" w:noVBand="0"/>
      </w:tblPr>
      <w:tblGrid>
        <w:gridCol w:w="565"/>
        <w:gridCol w:w="3544"/>
        <w:gridCol w:w="3403"/>
        <w:gridCol w:w="3119"/>
        <w:gridCol w:w="4019"/>
      </w:tblGrid>
      <w:tr w:rsidR="00BB708D" w14:paraId="78E01CCD" w14:textId="77777777">
        <w:trPr>
          <w:trHeight w:val="1748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C8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C9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Kriterijus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CA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</w:t>
            </w:r>
            <w:r>
              <w:rPr>
                <w:sz w:val="22"/>
                <w:szCs w:val="22"/>
              </w:rPr>
              <w:t>rindimas (nurodomos konkrečios teisės akto projekto ar kitų teisės aktų nuostatos, pagrindžiančios teigiamą atsakymą, arba pateikiamos antikorupcinį teisės akto projekto vertinimą atliekančio specialisto pastabos ir pasiūlymai dėl korupcijos rizikos mažini</w:t>
            </w:r>
            <w:r>
              <w:rPr>
                <w:sz w:val="22"/>
                <w:szCs w:val="22"/>
              </w:rPr>
              <w:t>mo)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CB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1CCC" w14:textId="77777777" w:rsidR="00BB708D" w:rsidRDefault="00D5386E">
            <w:pPr>
              <w:snapToGrid w:val="0"/>
              <w:jc w:val="center"/>
            </w:pPr>
            <w:r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BB708D" w14:paraId="78E01CD3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CE" w14:textId="77777777" w:rsidR="00BB708D" w:rsidRDefault="00BB708D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CF" w14:textId="77777777" w:rsidR="00BB708D" w:rsidRDefault="00BB708D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D0" w14:textId="77777777" w:rsidR="00BB708D" w:rsidRDefault="00D5386E">
            <w:pPr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pildo </w:t>
            </w:r>
            <w:r>
              <w:rPr>
                <w:i/>
                <w:sz w:val="22"/>
                <w:szCs w:val="22"/>
              </w:rPr>
              <w:t>teisės akto projekto vertintojas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1CD1" w14:textId="77777777" w:rsidR="00BB708D" w:rsidRDefault="00D5386E">
            <w:pPr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1CD2" w14:textId="77777777" w:rsidR="00BB708D" w:rsidRDefault="00D5386E">
            <w:pPr>
              <w:snapToGrid w:val="0"/>
              <w:jc w:val="center"/>
            </w:pPr>
            <w:r>
              <w:rPr>
                <w:i/>
                <w:sz w:val="22"/>
                <w:szCs w:val="22"/>
              </w:rPr>
              <w:t>pildo teisės akto projekto vertintojas</w:t>
            </w:r>
          </w:p>
        </w:tc>
      </w:tr>
      <w:tr w:rsidR="00BB708D" w14:paraId="78E01CDA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4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5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6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Nesudaro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7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D8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D9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CE1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B" w14:textId="77777777" w:rsidR="00BB708D" w:rsidRDefault="00D5386E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C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D" w14:textId="77777777" w:rsidR="00BB708D" w:rsidRDefault="00D5386E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Nėra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DE" w14:textId="77777777" w:rsidR="00BB708D" w:rsidRDefault="00BB708D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DF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E0" w14:textId="77777777" w:rsidR="00BB708D" w:rsidRDefault="00D5386E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CE8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2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3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nustatyta, kad sprendimą dėl teisių suteikimo, </w:t>
            </w:r>
            <w:r>
              <w:rPr>
                <w:sz w:val="22"/>
                <w:szCs w:val="22"/>
              </w:rPr>
              <w:t xml:space="preserve">apribojimų nustatymo, sankcijų taikymo ir panašiai priimantis subjektas atskirtas nuo šių sprendimų teisėtumą ir įgyvendinimą </w:t>
            </w:r>
            <w:r>
              <w:rPr>
                <w:sz w:val="22"/>
                <w:szCs w:val="22"/>
              </w:rPr>
              <w:lastRenderedPageBreak/>
              <w:t>kontroliuojančio (prižiūrinčio) subjekto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4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Sprendimo projekte kontroliuojantis (prižiūrintis) subjektas nenustatytas.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5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E6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E7" w14:textId="77777777" w:rsidR="00BB708D" w:rsidRDefault="00D5386E">
            <w:r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netenkina</w:t>
            </w:r>
          </w:p>
        </w:tc>
      </w:tr>
      <w:tr w:rsidR="00BB708D" w14:paraId="78E01CEF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9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A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B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Taip.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EC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ED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EE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CF6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0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1" w14:textId="77777777" w:rsidR="00BB708D" w:rsidRDefault="00D5386E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2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Nenustatytas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3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F4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F5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CFD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7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8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9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A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CFB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CFC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04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E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CFF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 sprendimų priėmimo, </w:t>
            </w:r>
            <w:r>
              <w:rPr>
                <w:sz w:val="22"/>
                <w:szCs w:val="22"/>
              </w:rPr>
              <w:t>įforminimo tvarka ir priimtų sprendimų viešinimas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0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1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02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03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0B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5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6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7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8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09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0A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18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C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0D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Jeigu pagal numatomą reguliavimą </w:t>
            </w:r>
            <w:r>
              <w:rPr>
                <w:sz w:val="22"/>
                <w:szCs w:val="22"/>
              </w:rPr>
              <w:t>sprendimus priima kolegialus subjektas, teisės akto projekte nustatyta kolegialaus sprendimus priimančio subjekto:</w:t>
            </w:r>
          </w:p>
          <w:p w14:paraId="78E01D0E" w14:textId="77777777" w:rsidR="00BB708D" w:rsidRDefault="00D5386E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14:paraId="78E01D0F" w14:textId="77777777" w:rsidR="00BB708D" w:rsidRDefault="00D5386E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9.2. jeigu narius skiria </w:t>
            </w:r>
            <w:r>
              <w:rPr>
                <w:sz w:val="22"/>
                <w:szCs w:val="22"/>
              </w:rPr>
              <w:t xml:space="preserve">keli subjektai, proporcinga kiekvieno subjekto skiriamų narių dalis, užtikrinanti </w:t>
            </w:r>
            <w:r>
              <w:rPr>
                <w:sz w:val="22"/>
                <w:szCs w:val="22"/>
              </w:rPr>
              <w:lastRenderedPageBreak/>
              <w:t>tinkamą atstovavimą valstybės interesams ir kolegialaus sprendimus priimančio subjekto veiklos objektyvumą ir skaidrumą;</w:t>
            </w:r>
          </w:p>
          <w:p w14:paraId="78E01D10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  <w:r>
              <w:rPr>
                <w:spacing w:val="-4"/>
                <w:sz w:val="22"/>
                <w:szCs w:val="22"/>
              </w:rPr>
              <w:t>. narių skyrimo mechanizmas;</w:t>
            </w:r>
          </w:p>
          <w:p w14:paraId="78E01D11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9.4. narių rotacija i</w:t>
            </w:r>
            <w:r>
              <w:rPr>
                <w:sz w:val="22"/>
                <w:szCs w:val="22"/>
              </w:rPr>
              <w:t>r kadencijų skaičius ir trukmė;</w:t>
            </w:r>
          </w:p>
          <w:p w14:paraId="78E01D12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9.5. veiklos pobūdis laiko atžvilgiu;</w:t>
            </w:r>
          </w:p>
          <w:p w14:paraId="78E01D13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9.6. individuali narių atsakomybė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4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Taip. Šiaulių miesto savivaldybės tarybos veiklos  reglamentas, patvirtintas 2011 m. rugsėjo 29 d. sprendimu Nr. T-253.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5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16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17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1F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9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A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>
              <w:rPr>
                <w:sz w:val="22"/>
                <w:szCs w:val="22"/>
                <w:shd w:val="clear" w:color="auto" w:fill="FFFFFF"/>
              </w:rPr>
              <w:t>būtinos,</w:t>
            </w:r>
            <w:r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B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Nenumatytos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1C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1D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1E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26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0" w14:textId="77777777" w:rsidR="00BB708D" w:rsidRDefault="00D5386E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1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nustatytas baigtinis sąrašas motyvuotų atvejų, kai </w:t>
            </w:r>
            <w:r>
              <w:rPr>
                <w:sz w:val="22"/>
                <w:szCs w:val="22"/>
              </w:rPr>
              <w:t>administracinė procedūra netaikoma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2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3" w14:textId="77777777" w:rsidR="00BB708D" w:rsidRDefault="00BB708D">
            <w:pPr>
              <w:keepNext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24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25" w14:textId="77777777" w:rsidR="00BB708D" w:rsidRDefault="00D5386E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2D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7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8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9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A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2B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2C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34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E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2F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0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1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32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33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3B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5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6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7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8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39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3A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42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C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D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</w:t>
            </w:r>
            <w:r>
              <w:rPr>
                <w:sz w:val="22"/>
                <w:szCs w:val="22"/>
              </w:rPr>
              <w:t xml:space="preserve">projektas nustato kontrolės (priežiūros) procedūrą ir aiškius jos atlikimo kriterijus </w:t>
            </w:r>
            <w:r>
              <w:rPr>
                <w:sz w:val="22"/>
                <w:szCs w:val="22"/>
              </w:rPr>
              <w:lastRenderedPageBreak/>
              <w:t>(atvejus, dažnį, fiksavimą, kontrolės rezultatų viešinimą ir panašiai)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E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Nenustato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3F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40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41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49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3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4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nustatytos kontrolės </w:t>
            </w:r>
            <w:r>
              <w:rPr>
                <w:sz w:val="22"/>
                <w:szCs w:val="22"/>
              </w:rPr>
              <w:t>(priežiūros) skaidrumo ir objektyvumo užtikrinimo priemonės</w:t>
            </w:r>
            <w:r>
              <w:rPr>
                <w:rStyle w:val="FootnoteAnchor"/>
                <w:sz w:val="22"/>
                <w:szCs w:val="22"/>
              </w:rPr>
              <w:footnoteReference w:id="3"/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5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Nenustatytos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6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47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48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50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A" w14:textId="77777777" w:rsidR="00BB708D" w:rsidRDefault="00D5386E">
            <w:pPr>
              <w:keepNext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B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projekte nustatyta subjektų, su kuriais susijęs teisės akto projekto nuostatų įgyvendinimas, atsakomybės rūšis (tarnybinė, </w:t>
            </w:r>
            <w:r>
              <w:rPr>
                <w:sz w:val="22"/>
                <w:szCs w:val="22"/>
              </w:rPr>
              <w:t>administracinė, baudžiamoji ir panašiai)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C" w14:textId="77777777" w:rsidR="00BB708D" w:rsidRDefault="00D5386E">
            <w:pPr>
              <w:keepNext/>
              <w:snapToGri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Nenustatyta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4D" w14:textId="77777777" w:rsidR="00BB708D" w:rsidRDefault="00BB708D">
            <w:pPr>
              <w:keepNext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4E" w14:textId="77777777" w:rsidR="00BB708D" w:rsidRDefault="00D5386E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4F" w14:textId="77777777" w:rsidR="00BB708D" w:rsidRDefault="00D5386E">
            <w:pPr>
              <w:keepNext/>
            </w:pPr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57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1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2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aktų projekte numatytas baigtinis sąrašas kriterijų, pagal kuriuos skiriama nuobauda (sankcija) už teisės akto projekte nustatytų nurodymų nevykdymą, ir </w:t>
            </w:r>
            <w:r>
              <w:rPr>
                <w:sz w:val="22"/>
                <w:szCs w:val="22"/>
              </w:rPr>
              <w:t>nustatyta aiški jos skyrimo procedūra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3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Nenumatyta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4" w14:textId="77777777" w:rsidR="00BB708D" w:rsidRDefault="00BB70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55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56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  <w:tr w:rsidR="00BB708D" w14:paraId="78E01D5E" w14:textId="77777777">
        <w:trPr>
          <w:trHeight w:val="2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8" w14:textId="77777777" w:rsidR="00BB708D" w:rsidRDefault="00D5386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9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Kiti svarbūs kriterijai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A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01D5B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1D5C" w14:textId="77777777" w:rsidR="00BB708D" w:rsidRDefault="00D538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■ tenkina</w:t>
            </w:r>
          </w:p>
          <w:p w14:paraId="78E01D5D" w14:textId="77777777" w:rsidR="00BB708D" w:rsidRDefault="00D5386E">
            <w:r>
              <w:rPr>
                <w:sz w:val="22"/>
                <w:szCs w:val="22"/>
              </w:rPr>
              <w:t>□ netenkina</w:t>
            </w:r>
          </w:p>
        </w:tc>
      </w:tr>
    </w:tbl>
    <w:p w14:paraId="78E01D5F" w14:textId="77777777" w:rsidR="00BB708D" w:rsidRDefault="00BB708D">
      <w:pPr>
        <w:tabs>
          <w:tab w:val="left" w:pos="6237"/>
        </w:tabs>
      </w:pPr>
    </w:p>
    <w:tbl>
      <w:tblPr>
        <w:tblW w:w="14610" w:type="dxa"/>
        <w:tblInd w:w="108" w:type="dxa"/>
        <w:tblLook w:val="0000" w:firstRow="0" w:lastRow="0" w:firstColumn="0" w:lastColumn="0" w:noHBand="0" w:noVBand="0"/>
      </w:tblPr>
      <w:tblGrid>
        <w:gridCol w:w="2458"/>
        <w:gridCol w:w="4773"/>
        <w:gridCol w:w="2434"/>
        <w:gridCol w:w="4945"/>
      </w:tblGrid>
      <w:tr w:rsidR="00BB708D" w14:paraId="78E01D6A" w14:textId="77777777">
        <w:trPr>
          <w:trHeight w:val="23"/>
        </w:trPr>
        <w:tc>
          <w:tcPr>
            <w:tcW w:w="2457" w:type="dxa"/>
            <w:shd w:val="clear" w:color="auto" w:fill="auto"/>
          </w:tcPr>
          <w:p w14:paraId="78E01D60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  <w:p w14:paraId="78E01D61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4773" w:type="dxa"/>
            <w:tcBorders>
              <w:bottom w:val="single" w:sz="4" w:space="0" w:color="000000"/>
            </w:tcBorders>
            <w:shd w:val="clear" w:color="auto" w:fill="auto"/>
          </w:tcPr>
          <w:p w14:paraId="78E01D62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  <w:p w14:paraId="78E01D63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Architektūros, urbanistikos ir paveldosaugos skyriaus vyr. specialistas  </w:t>
            </w:r>
          </w:p>
          <w:p w14:paraId="78E01D64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Juozas Varapnickas</w:t>
            </w:r>
          </w:p>
        </w:tc>
        <w:tc>
          <w:tcPr>
            <w:tcW w:w="2434" w:type="dxa"/>
            <w:shd w:val="clear" w:color="auto" w:fill="auto"/>
          </w:tcPr>
          <w:p w14:paraId="78E01D65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  <w:p w14:paraId="78E01D66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Teisės akto projekto vertintojas:            </w:t>
            </w:r>
          </w:p>
        </w:tc>
        <w:tc>
          <w:tcPr>
            <w:tcW w:w="4945" w:type="dxa"/>
            <w:tcBorders>
              <w:bottom w:val="single" w:sz="4" w:space="0" w:color="000000"/>
            </w:tcBorders>
            <w:shd w:val="clear" w:color="auto" w:fill="auto"/>
          </w:tcPr>
          <w:p w14:paraId="78E01D67" w14:textId="77777777" w:rsidR="00BB708D" w:rsidRDefault="00BB708D">
            <w:pPr>
              <w:snapToGrid w:val="0"/>
              <w:rPr>
                <w:sz w:val="22"/>
                <w:szCs w:val="22"/>
              </w:rPr>
            </w:pPr>
          </w:p>
          <w:p w14:paraId="78E01D68" w14:textId="77777777" w:rsidR="00BB708D" w:rsidRDefault="00D5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Architektūros, urbanistikos ir paveldosaugos skyriaus L. e. vedėjo pareigas          </w:t>
            </w:r>
          </w:p>
          <w:p w14:paraId="78E01D69" w14:textId="77777777" w:rsidR="00BB708D" w:rsidRDefault="00D5386E">
            <w:r>
              <w:rPr>
                <w:sz w:val="22"/>
                <w:szCs w:val="22"/>
              </w:rPr>
              <w:t>Valdas Markevičius</w:t>
            </w:r>
          </w:p>
        </w:tc>
      </w:tr>
    </w:tbl>
    <w:p w14:paraId="78E01D6B" w14:textId="77777777" w:rsidR="00BB708D" w:rsidRDefault="00BB708D">
      <w:pPr>
        <w:tabs>
          <w:tab w:val="left" w:pos="6237"/>
          <w:tab w:val="right" w:pos="8306"/>
        </w:tabs>
      </w:pPr>
    </w:p>
    <w:sectPr w:rsidR="00BB708D">
      <w:pgSz w:w="16838" w:h="11906" w:orient="landscape"/>
      <w:pgMar w:top="510" w:right="720" w:bottom="720" w:left="720" w:header="0" w:footer="0" w:gutter="0"/>
      <w:pgNumType w:start="1"/>
      <w:cols w:space="1296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01D70" w14:textId="77777777" w:rsidR="00000000" w:rsidRDefault="00D5386E">
      <w:r>
        <w:separator/>
      </w:r>
    </w:p>
  </w:endnote>
  <w:endnote w:type="continuationSeparator" w:id="0">
    <w:p w14:paraId="78E01D72" w14:textId="77777777" w:rsidR="00000000" w:rsidRDefault="00D5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01D6C" w14:textId="77777777" w:rsidR="00BB708D" w:rsidRDefault="00D5386E">
      <w:r>
        <w:separator/>
      </w:r>
    </w:p>
  </w:footnote>
  <w:footnote w:type="continuationSeparator" w:id="0">
    <w:p w14:paraId="78E01D6D" w14:textId="77777777" w:rsidR="00BB708D" w:rsidRDefault="00D5386E">
      <w:r>
        <w:continuationSeparator/>
      </w:r>
    </w:p>
  </w:footnote>
  <w:footnote w:id="1">
    <w:p w14:paraId="78E01D6E" w14:textId="77777777" w:rsidR="00BB708D" w:rsidRDefault="00D5386E">
      <w:pPr>
        <w:jc w:val="both"/>
      </w:pPr>
      <w:r>
        <w:rPr>
          <w:rStyle w:val="FootnoteCharacters"/>
        </w:rPr>
        <w:footnoteRef/>
      </w:r>
      <w:r>
        <w:rPr>
          <w:sz w:val="20"/>
        </w:rPr>
        <w:tab/>
        <w:t xml:space="preserve">Jeigu tas pats kriterijus taikomas kelioms teisės akto projekto nuostatoms, nurodyti ir konkrečias teisės akto projekto </w:t>
      </w:r>
      <w:r>
        <w:rPr>
          <w:sz w:val="20"/>
        </w:rPr>
        <w:t>nuostatas, dėl kurių galima korupcijos rizika nepašalinta ar kuriai valdyti teisės akto projekte nenumatyta priemonių.</w:t>
      </w:r>
    </w:p>
  </w:footnote>
  <w:footnote w:id="2">
    <w:p w14:paraId="78E01D6F" w14:textId="77777777" w:rsidR="00BB708D" w:rsidRDefault="00D5386E">
      <w:pPr>
        <w:jc w:val="both"/>
      </w:pPr>
      <w:r>
        <w:rPr>
          <w:rStyle w:val="FootnoteCharacters"/>
        </w:rPr>
        <w:footnoteRef/>
      </w:r>
      <w:r>
        <w:rPr>
          <w:sz w:val="20"/>
        </w:rPr>
        <w:tab/>
        <w:t xml:space="preserve"> Tas pat.</w:t>
      </w:r>
    </w:p>
  </w:footnote>
  <w:footnote w:id="3">
    <w:p w14:paraId="78E01D70" w14:textId="77777777" w:rsidR="00BB708D" w:rsidRDefault="00D5386E">
      <w:pPr>
        <w:jc w:val="both"/>
        <w:rPr>
          <w:sz w:val="20"/>
        </w:rPr>
      </w:pPr>
      <w:r>
        <w:rPr>
          <w:rStyle w:val="FootnoteCharacters"/>
        </w:rPr>
        <w:footnoteRef/>
      </w:r>
      <w:r>
        <w:rPr>
          <w:sz w:val="20"/>
        </w:rPr>
        <w:tab/>
        <w:t>Pavyzdžiui, aiškiai ir išsamiai išdėstytos kontroliuojančio subjekto teisės ir pareigos, nustatyta standartizuota kontrolės</w:t>
      </w:r>
      <w:r>
        <w:rPr>
          <w:sz w:val="20"/>
        </w:rPr>
        <w:t xml:space="preserve"> atlikimo procedūra, reikalavimas fiksuoti atskirus kontrolės procedūros etapus ir jų rezultatus, atsakingų specialistų rotacija, užkirstas kelias kontroliuojančio ir kontroliuojamo subjektų tiesioginiam kontaktui be liudininkų ir panašiai.</w:t>
      </w:r>
    </w:p>
    <w:p w14:paraId="78E01D71" w14:textId="77777777" w:rsidR="00BB708D" w:rsidRDefault="00D5386E">
      <w:pPr>
        <w:jc w:val="center"/>
      </w:pPr>
      <w:r>
        <w:rPr>
          <w:sz w:val="20"/>
        </w:rPr>
        <w:tab/>
        <w:t>______________</w:t>
      </w:r>
      <w:r>
        <w:rPr>
          <w:sz w:val="20"/>
        </w:rPr>
        <w:t>_________________________________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8D"/>
    <w:rsid w:val="00BB708D"/>
    <w:rsid w:val="00D5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1CC1"/>
  <w15:docId w15:val="{D0895491-E56F-42CE-B7E7-E4A12A0C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2">
    <w:name w:val="Numatytasis pastraipos šriftas2"/>
    <w:qFormat/>
  </w:style>
  <w:style w:type="character" w:customStyle="1" w:styleId="Numatytasispastraiposriftas1">
    <w:name w:val="Numatytasis pastraipos šriftas1"/>
    <w:qFormat/>
  </w:style>
  <w:style w:type="character" w:customStyle="1" w:styleId="DebesliotekstasDiagrama">
    <w:name w:val="Debesėlio tekstas Diagrama"/>
    <w:qFormat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qFormat/>
    <w:rPr>
      <w:color w:val="808080"/>
    </w:rPr>
  </w:style>
  <w:style w:type="character" w:customStyle="1" w:styleId="PoratDiagrama">
    <w:name w:val="Poraštė Diagrama"/>
    <w:qFormat/>
    <w:rPr>
      <w:sz w:val="24"/>
    </w:rPr>
  </w:style>
  <w:style w:type="character" w:customStyle="1" w:styleId="AntratsDiagrama">
    <w:name w:val="Antraštės Diagrama"/>
    <w:qFormat/>
    <w:rPr>
      <w:sz w:val="24"/>
    </w:rPr>
  </w:style>
  <w:style w:type="character" w:customStyle="1" w:styleId="Inaosramenys">
    <w:name w:val="Išnašos rašmenys"/>
    <w:qFormat/>
  </w:style>
  <w:style w:type="character" w:customStyle="1" w:styleId="Puslapinsinaosramenys">
    <w:name w:val="Puslapinės išnašos rašmenys"/>
    <w:qFormat/>
    <w:rPr>
      <w:vertAlign w:val="superscript"/>
    </w:rPr>
  </w:style>
  <w:style w:type="character" w:customStyle="1" w:styleId="Galinsinaosramenys">
    <w:name w:val="Galinės išnašos rašmenys"/>
    <w:qFormat/>
    <w:rPr>
      <w:vertAlign w:val="superscript"/>
    </w:rPr>
  </w:style>
  <w:style w:type="character" w:customStyle="1" w:styleId="WW-Galinsinaosramenys">
    <w:name w:val="WW-Galinės išnašos rašmenys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Antrat2">
    <w:name w:val="Antraštė2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avadinimas2">
    <w:name w:val="Pavadinimas2"/>
    <w:basedOn w:val="prastasis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qFormat/>
    <w:pPr>
      <w:suppressLineNumbers/>
    </w:pPr>
    <w:rPr>
      <w:rFonts w:cs="Tahoma"/>
    </w:rPr>
  </w:style>
  <w:style w:type="paragraph" w:customStyle="1" w:styleId="Antrat1">
    <w:name w:val="Antraštė1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avadinimas1">
    <w:name w:val="Pavadinimas1"/>
    <w:basedOn w:val="prastasis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</w:style>
  <w:style w:type="paragraph" w:styleId="Antrats">
    <w:name w:val="header"/>
    <w:basedOn w:val="prastasis"/>
  </w:style>
  <w:style w:type="paragraph" w:styleId="Puslapioinaostekstas">
    <w:name w:val="footnote text"/>
    <w:basedOn w:val="prastasis"/>
    <w:pPr>
      <w:suppressLineNumbers/>
      <w:ind w:left="283" w:hanging="283"/>
    </w:pPr>
    <w:rPr>
      <w:sz w:val="20"/>
    </w:rPr>
  </w:style>
  <w:style w:type="paragraph" w:customStyle="1" w:styleId="Lentelsturinys">
    <w:name w:val="Lentelės turinys"/>
    <w:basedOn w:val="prastasis"/>
    <w:qFormat/>
    <w:pPr>
      <w:suppressLineNumbers/>
    </w:p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3480</Words>
  <Characters>1984</Characters>
  <Application>Microsoft Office Word</Application>
  <DocSecurity>4</DocSecurity>
  <Lines>16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Teisės aktų projektų antikorupcinio vertinimo taisyklių</dc:title>
  <dc:creator>lrvk</dc:creator>
  <cp:lastModifiedBy>Salomėja Buškienė</cp:lastModifiedBy>
  <cp:revision>2</cp:revision>
  <cp:lastPrinted>2014-10-27T13:25:00Z</cp:lastPrinted>
  <dcterms:created xsi:type="dcterms:W3CDTF">2021-07-30T12:17:00Z</dcterms:created>
  <dcterms:modified xsi:type="dcterms:W3CDTF">2021-07-30T12:17:00Z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infolexID">
    <vt:lpwstr>F64E0FC5-A0C2-4620-8595-58BAAC7DF5B7</vt:lpwstr>
  </property>
</Properties>
</file>