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5147E" w14:textId="77777777" w:rsidR="003F5C3F" w:rsidRDefault="003F5C3F">
      <w:pPr>
        <w:tabs>
          <w:tab w:val="left" w:pos="6237"/>
        </w:tabs>
        <w:rPr>
          <w:color w:val="000000"/>
          <w:szCs w:val="24"/>
          <w:lang w:eastAsia="lt-LT"/>
        </w:rPr>
      </w:pPr>
    </w:p>
    <w:p w14:paraId="4795147F" w14:textId="77777777" w:rsidR="003F5C3F" w:rsidRDefault="003144CD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TEISĖS AKTŲ PROJEKTŲ ANTIKORUPCINIO VERTINIMO PAŽYMA</w:t>
      </w:r>
    </w:p>
    <w:p w14:paraId="47951480" w14:textId="77777777" w:rsidR="003F5C3F" w:rsidRDefault="003F5C3F">
      <w:pPr>
        <w:rPr>
          <w:szCs w:val="24"/>
          <w:lang w:eastAsia="lt-LT"/>
        </w:rPr>
      </w:pPr>
    </w:p>
    <w:p w14:paraId="47951481" w14:textId="77777777" w:rsidR="003F5C3F" w:rsidRDefault="003144CD">
      <w:pPr>
        <w:spacing w:line="360" w:lineRule="atLeast"/>
        <w:jc w:val="both"/>
      </w:pPr>
      <w:r>
        <w:t xml:space="preserve">Teisės akto projekto pavadinimas: Šiaulių miesto savivaldybės administracijos direktoriaus įsakymas „Dėl Jaunimo iniciatyvų projektų finansavimo konkurso prioritetų, nuostatų ir sutarties formos </w:t>
      </w:r>
      <w:r>
        <w:t>patvirtinimo“ (toliau – Projektas).</w:t>
      </w:r>
    </w:p>
    <w:p w14:paraId="47951482" w14:textId="77777777" w:rsidR="003F5C3F" w:rsidRDefault="003144CD">
      <w:pPr>
        <w:spacing w:line="360" w:lineRule="atLeast"/>
        <w:jc w:val="both"/>
      </w:pPr>
      <w:r>
        <w:t xml:space="preserve">Teisės akto projekto rengėjas: Šiaulių miesto savivaldybės administracijos jaunimo reikalų koordinatorė (vyriausioji specialistė) </w:t>
      </w:r>
      <w:r>
        <w:rPr>
          <w:color w:val="000000"/>
          <w:szCs w:val="24"/>
          <w:lang w:eastAsia="zh-CN"/>
        </w:rPr>
        <w:t xml:space="preserve">Dalia </w:t>
      </w:r>
      <w:proofErr w:type="spellStart"/>
      <w:r>
        <w:rPr>
          <w:color w:val="000000"/>
          <w:szCs w:val="24"/>
          <w:lang w:eastAsia="zh-CN"/>
        </w:rPr>
        <w:t>Vietienė</w:t>
      </w:r>
      <w:proofErr w:type="spellEnd"/>
    </w:p>
    <w:p w14:paraId="47951483" w14:textId="77777777" w:rsidR="003F5C3F" w:rsidRDefault="003144CD">
      <w:pPr>
        <w:spacing w:line="360" w:lineRule="atLeast"/>
        <w:jc w:val="both"/>
        <w:rPr>
          <w:szCs w:val="24"/>
          <w:lang w:eastAsia="lt-LT"/>
        </w:rPr>
      </w:pPr>
      <w:r>
        <w:rPr>
          <w:szCs w:val="24"/>
          <w:lang w:eastAsia="lt-LT"/>
        </w:rPr>
        <w:t>Antikorupciniu požiūriu rizikingos teisės akto projekto nuostatos</w:t>
      </w:r>
      <w:r>
        <w:rPr>
          <w:b/>
          <w:szCs w:val="24"/>
          <w:lang w:eastAsia="lt-LT"/>
        </w:rPr>
        <w:t xml:space="preserve"> </w:t>
      </w:r>
      <w:r>
        <w:rPr>
          <w:i/>
          <w:szCs w:val="24"/>
          <w:lang w:eastAsia="lt-LT"/>
        </w:rPr>
        <w:t>(nurodyti</w:t>
      </w:r>
      <w:r>
        <w:rPr>
          <w:i/>
          <w:szCs w:val="24"/>
          <w:lang w:eastAsia="lt-LT"/>
        </w:rPr>
        <w:t xml:space="preserve"> kriterijaus numerį, kurį taikant nustatytai korupcijos rizikai šalinti ar valdyti teisės akto projekte nenumatyta priemonių)</w:t>
      </w:r>
      <w:r>
        <w:rPr>
          <w:rStyle w:val="FootnoteAnchor"/>
          <w:szCs w:val="24"/>
          <w:lang w:eastAsia="lt-LT"/>
        </w:rPr>
        <w:footnoteReference w:id="1"/>
      </w:r>
      <w:r>
        <w:rPr>
          <w:szCs w:val="24"/>
          <w:lang w:eastAsia="lt-LT"/>
        </w:rPr>
        <w:t xml:space="preserve">: </w:t>
      </w:r>
    </w:p>
    <w:p w14:paraId="47951484" w14:textId="77777777" w:rsidR="003F5C3F" w:rsidRDefault="003144CD">
      <w:pPr>
        <w:spacing w:line="360" w:lineRule="atLeast"/>
        <w:jc w:val="both"/>
        <w:rPr>
          <w:bCs/>
          <w:szCs w:val="24"/>
          <w:lang w:eastAsia="ar-SA"/>
        </w:rPr>
      </w:pPr>
      <w:r>
        <w:rPr>
          <w:bCs/>
          <w:szCs w:val="24"/>
          <w:lang w:eastAsia="lt-LT"/>
        </w:rPr>
        <w:t>Antikorupciniu požiūriu rizikingos teisės akto projekto nuostatos, nustatytos atliekant antikorupcinį vertinimą po tarpinstitu</w:t>
      </w:r>
      <w:r>
        <w:rPr>
          <w:bCs/>
          <w:szCs w:val="24"/>
          <w:lang w:eastAsia="lt-LT"/>
        </w:rPr>
        <w:t>cinio derinimo</w:t>
      </w:r>
      <w:r>
        <w:rPr>
          <w:b/>
          <w:bCs/>
          <w:szCs w:val="24"/>
          <w:lang w:eastAsia="lt-LT"/>
        </w:rPr>
        <w:t xml:space="preserve"> </w:t>
      </w:r>
      <w:r>
        <w:rPr>
          <w:bCs/>
          <w:i/>
          <w:szCs w:val="24"/>
          <w:lang w:eastAsia="lt-LT"/>
        </w:rPr>
        <w:t>(nurodyti kriterijaus numerį, kurį taikant nustatytai korupcijos rizikai šalinti ar valdyti teisės akto projekte nenumatyta priemonių)</w:t>
      </w:r>
      <w:r>
        <w:rPr>
          <w:rStyle w:val="FootnoteAnchor"/>
          <w:bCs/>
          <w:szCs w:val="24"/>
          <w:lang w:eastAsia="lt-LT"/>
        </w:rPr>
        <w:footnoteReference w:id="2"/>
      </w:r>
      <w:r>
        <w:rPr>
          <w:bCs/>
          <w:szCs w:val="24"/>
          <w:lang w:eastAsia="lt-LT"/>
        </w:rPr>
        <w:t>:</w:t>
      </w:r>
    </w:p>
    <w:p w14:paraId="47951485" w14:textId="77777777" w:rsidR="003F5C3F" w:rsidRDefault="003F5C3F">
      <w:pPr>
        <w:jc w:val="both"/>
        <w:rPr>
          <w:sz w:val="22"/>
          <w:lang w:eastAsia="lt-LT"/>
        </w:rPr>
      </w:pPr>
    </w:p>
    <w:tbl>
      <w:tblPr>
        <w:tblW w:w="14509" w:type="dxa"/>
        <w:tblInd w:w="108" w:type="dxa"/>
        <w:tblLook w:val="04A0" w:firstRow="1" w:lastRow="0" w:firstColumn="1" w:lastColumn="0" w:noHBand="0" w:noVBand="1"/>
      </w:tblPr>
      <w:tblGrid>
        <w:gridCol w:w="705"/>
        <w:gridCol w:w="3385"/>
        <w:gridCol w:w="3936"/>
        <w:gridCol w:w="3797"/>
        <w:gridCol w:w="2686"/>
      </w:tblGrid>
      <w:tr w:rsidR="003F5C3F" w14:paraId="4795148B" w14:textId="77777777">
        <w:trPr>
          <w:trHeight w:val="23"/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486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487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Kriterijus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488" w14:textId="77777777" w:rsidR="003F5C3F" w:rsidRDefault="003144CD">
            <w:pPr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Pagrindimas (nurodomos konkrečios teisės akto projekto ar kitų teisės aktų nuostat</w:t>
            </w:r>
            <w:r>
              <w:rPr>
                <w:sz w:val="22"/>
                <w:szCs w:val="22"/>
                <w:lang w:eastAsia="lt-LT"/>
              </w:rPr>
              <w:t>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489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projekto pakeitimas, mažinantis korupcijos riziką, arba teisės </w:t>
            </w:r>
            <w:r>
              <w:rPr>
                <w:sz w:val="22"/>
                <w:szCs w:val="22"/>
                <w:lang w:eastAsia="lt-LT"/>
              </w:rPr>
              <w:t>akto projekto tiesioginio rengėjo argumentai, kodėl neatsižvelgta į pastabą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48A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Išvada dėl teisės akto projekto pakeitimų arba argumentų, kodėl neatsižvelgta į pastabą</w:t>
            </w:r>
          </w:p>
        </w:tc>
      </w:tr>
      <w:tr w:rsidR="003F5C3F" w14:paraId="47951491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8C" w14:textId="77777777" w:rsidR="003F5C3F" w:rsidRDefault="003F5C3F">
            <w:pPr>
              <w:jc w:val="center"/>
              <w:rPr>
                <w:i/>
                <w:sz w:val="22"/>
                <w:szCs w:val="22"/>
                <w:lang w:eastAsia="lt-LT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8D" w14:textId="77777777" w:rsidR="003F5C3F" w:rsidRDefault="003F5C3F">
            <w:pPr>
              <w:rPr>
                <w:i/>
                <w:sz w:val="22"/>
                <w:szCs w:val="22"/>
                <w:lang w:eastAsia="lt-LT"/>
              </w:rPr>
            </w:pP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48E" w14:textId="77777777" w:rsidR="003F5C3F" w:rsidRDefault="003144CD">
            <w:pPr>
              <w:jc w:val="center"/>
              <w:rPr>
                <w:i/>
                <w:sz w:val="22"/>
                <w:szCs w:val="22"/>
                <w:lang w:eastAsia="lt-LT"/>
              </w:rPr>
            </w:pPr>
            <w:r>
              <w:rPr>
                <w:i/>
                <w:sz w:val="22"/>
                <w:szCs w:val="22"/>
                <w:lang w:eastAsia="lt-LT"/>
              </w:rPr>
              <w:t>pildo teisės akto projekto vertintojas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48F" w14:textId="77777777" w:rsidR="003F5C3F" w:rsidRDefault="003144CD">
            <w:pPr>
              <w:jc w:val="center"/>
              <w:rPr>
                <w:i/>
                <w:sz w:val="22"/>
                <w:szCs w:val="22"/>
                <w:lang w:eastAsia="lt-LT"/>
              </w:rPr>
            </w:pPr>
            <w:r>
              <w:rPr>
                <w:i/>
                <w:sz w:val="22"/>
                <w:szCs w:val="22"/>
                <w:lang w:eastAsia="lt-LT"/>
              </w:rPr>
              <w:t xml:space="preserve">pildo teisės akto projekto tiesioginis </w:t>
            </w:r>
            <w:r>
              <w:rPr>
                <w:i/>
                <w:sz w:val="22"/>
                <w:szCs w:val="22"/>
                <w:lang w:eastAsia="lt-LT"/>
              </w:rPr>
              <w:t>rengėjas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490" w14:textId="77777777" w:rsidR="003F5C3F" w:rsidRDefault="003144CD">
            <w:pPr>
              <w:jc w:val="center"/>
              <w:rPr>
                <w:i/>
                <w:sz w:val="22"/>
                <w:szCs w:val="22"/>
                <w:lang w:eastAsia="lt-LT"/>
              </w:rPr>
            </w:pPr>
            <w:r>
              <w:rPr>
                <w:i/>
                <w:sz w:val="22"/>
                <w:szCs w:val="22"/>
                <w:lang w:eastAsia="lt-LT"/>
              </w:rPr>
              <w:t>pildo teisės akto projekto vertintojas</w:t>
            </w:r>
          </w:p>
        </w:tc>
      </w:tr>
      <w:tr w:rsidR="003F5C3F" w14:paraId="47951498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92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93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94" w14:textId="77777777" w:rsidR="003F5C3F" w:rsidRDefault="003144CD">
            <w:pPr>
              <w:rPr>
                <w:bCs/>
                <w:sz w:val="22"/>
                <w:szCs w:val="22"/>
                <w:lang w:eastAsia="lt-LT"/>
              </w:rPr>
            </w:pPr>
            <w:r>
              <w:rPr>
                <w:bCs/>
                <w:sz w:val="22"/>
                <w:szCs w:val="22"/>
                <w:lang w:eastAsia="lt-LT"/>
              </w:rPr>
              <w:t>Nesudaro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95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96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97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□ netenkina </w:t>
            </w:r>
          </w:p>
        </w:tc>
      </w:tr>
      <w:tr w:rsidR="003F5C3F" w14:paraId="4795149F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99" w14:textId="77777777" w:rsidR="003F5C3F" w:rsidRDefault="003144CD">
            <w:pPr>
              <w:keepNext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9A" w14:textId="77777777" w:rsidR="003F5C3F" w:rsidRDefault="003144CD">
            <w:pPr>
              <w:keepNext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projekte nėra spragų ar </w:t>
            </w:r>
            <w:r>
              <w:rPr>
                <w:sz w:val="22"/>
                <w:szCs w:val="22"/>
                <w:lang w:eastAsia="lt-LT"/>
              </w:rPr>
              <w:t>nuostatų, leisiančių dviprasmiškai aiškinti ir taikyti teisės aktą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9B" w14:textId="77777777" w:rsidR="003F5C3F" w:rsidRDefault="003144CD">
            <w:pPr>
              <w:keepNext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Nėra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9C" w14:textId="77777777" w:rsidR="003F5C3F" w:rsidRDefault="003F5C3F">
            <w:pPr>
              <w:keepNext/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9D" w14:textId="77777777" w:rsidR="003F5C3F" w:rsidRDefault="003144CD">
            <w:pPr>
              <w:keepNext/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9E" w14:textId="77777777" w:rsidR="003F5C3F" w:rsidRDefault="003144CD">
            <w:pPr>
              <w:keepNext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A6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0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1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projekte nustatyta, kad sprendimą dėl teisių suteikimo, </w:t>
            </w:r>
            <w:r>
              <w:rPr>
                <w:sz w:val="22"/>
                <w:szCs w:val="22"/>
                <w:lang w:eastAsia="lt-LT"/>
              </w:rPr>
              <w:lastRenderedPageBreak/>
              <w:t>apribojimų nustatymo, sankcijų taikymo ir panašiai priimantis subjektas atskirtas nuo šių</w:t>
            </w:r>
            <w:r>
              <w:rPr>
                <w:sz w:val="22"/>
                <w:szCs w:val="22"/>
                <w:lang w:eastAsia="lt-LT"/>
              </w:rPr>
              <w:t xml:space="preserve"> sprendimų teisėtumą ir įgyvendinimą kontroliuojančio (prižiūrinčio) subjekto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2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Taip (Nuostatų 46, 47 punktai)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3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4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A5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AD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7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4.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8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nustatyti subjekto įgaliojimai (teisės) atitinka subjekto atliekamas funkcijas (pareigas)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9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Taip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A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B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</w:t>
            </w:r>
            <w:r>
              <w:rPr>
                <w:sz w:val="22"/>
                <w:szCs w:val="22"/>
                <w:lang w:eastAsia="lt-LT"/>
              </w:rPr>
              <w:t>tenkina</w:t>
            </w:r>
          </w:p>
          <w:p w14:paraId="479514AC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B5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E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5.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AF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nustatytas baigtinis sprendimo priėmimo kriterijų (atvejų) sąrašas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B0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Taip (Nuostatų 35, 37 punktai)</w:t>
            </w:r>
          </w:p>
          <w:p w14:paraId="479514B1" w14:textId="77777777" w:rsidR="003F5C3F" w:rsidRDefault="003F5C3F">
            <w:pPr>
              <w:rPr>
                <w:color w:val="FF0000"/>
                <w:sz w:val="22"/>
                <w:szCs w:val="22"/>
                <w:lang w:eastAsia="lt-LT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B2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B3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B4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BC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B6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6.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B7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projekte nustatytas baigtinis sąrašas motyvuotų atvejų, kai </w:t>
            </w:r>
            <w:r>
              <w:rPr>
                <w:sz w:val="22"/>
                <w:szCs w:val="22"/>
                <w:lang w:eastAsia="lt-LT"/>
              </w:rPr>
              <w:t>priimant sprendimus taikomos išimtys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B8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Kriterijus netaikomas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B9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BA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BB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C3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BD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BE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nustatyta sprendimų priėmimo, įforminimo tvarka ir priimtų sprendimų viešinimas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BF" w14:textId="77777777" w:rsidR="003F5C3F" w:rsidRDefault="003144CD">
            <w:pPr>
              <w:rPr>
                <w:sz w:val="22"/>
                <w:szCs w:val="22"/>
                <w:highlight w:val="yellow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Taip (Nuostatų 47, 48 punktai)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C0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C1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C2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CA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C4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8.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C5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nustatyta sprendimų dėl mažareikšmiškumo priėmimo tvarka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C6" w14:textId="77777777" w:rsidR="003F5C3F" w:rsidRDefault="003144CD">
            <w:pPr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Punktas netaikomas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C7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C8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C9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D7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CB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9.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CC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Jeigu pagal numatomą reguliavimą sprendimus priima kolegialus subjektas, teisės akto projekte nustatyta kolegialaus sprendimus priim</w:t>
            </w:r>
            <w:r>
              <w:rPr>
                <w:sz w:val="22"/>
                <w:szCs w:val="22"/>
                <w:lang w:eastAsia="lt-LT"/>
              </w:rPr>
              <w:t>ančio subjekto:</w:t>
            </w:r>
          </w:p>
          <w:p w14:paraId="479514CD" w14:textId="77777777" w:rsidR="003F5C3F" w:rsidRDefault="003144CD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9.1. konkretus narių skaičius, užtikrinantis kolegialaus sprendimus priimančio subjekto veiklos objektyvumą;</w:t>
            </w:r>
          </w:p>
          <w:p w14:paraId="479514CE" w14:textId="77777777" w:rsidR="003F5C3F" w:rsidRDefault="003144CD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9.2. jeigu narius skiria keli subjektai, proporcinga kiekvieno subjekto skiriamų narių dalis, užtikrinanti tinkamą atstovavimą vals</w:t>
            </w:r>
            <w:r>
              <w:rPr>
                <w:sz w:val="22"/>
                <w:szCs w:val="22"/>
              </w:rPr>
              <w:t>tybės interesams ir kolegialaus sprendimus priimančio subjekto veiklos objektyvumą ir skaidrumą;</w:t>
            </w:r>
          </w:p>
          <w:p w14:paraId="479514CF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9.3</w:t>
            </w:r>
            <w:r>
              <w:rPr>
                <w:spacing w:val="-4"/>
                <w:sz w:val="22"/>
                <w:szCs w:val="22"/>
                <w:lang w:eastAsia="lt-LT"/>
              </w:rPr>
              <w:t>. narių skyrimo mechanizmas;</w:t>
            </w:r>
          </w:p>
          <w:p w14:paraId="479514D0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9.4. narių rotacija ir kadencijų skaičius ir trukmė;</w:t>
            </w:r>
          </w:p>
          <w:p w14:paraId="479514D1" w14:textId="77777777" w:rsidR="003F5C3F" w:rsidRDefault="00314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9.5. veiklos pobūdis laiko atžvilgiu;</w:t>
            </w:r>
          </w:p>
          <w:p w14:paraId="479514D2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9.6. individuali narių </w:t>
            </w:r>
            <w:r>
              <w:rPr>
                <w:sz w:val="22"/>
                <w:szCs w:val="22"/>
                <w:lang w:eastAsia="lt-LT"/>
              </w:rPr>
              <w:t>atsakomybė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D3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</w:rPr>
              <w:lastRenderedPageBreak/>
              <w:t>Sprendimą priima Administracijos direktorius (Nuostatų 47  punktas)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D4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D5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D6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DE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D8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10.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D9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projekto nuostatoms įgyvendinti numatytos administracinės procedūros yra būtinos, nustatyta išsami jų taikymo tvarka 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DA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Kriterijus netaikomas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DB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DC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DD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E5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DF" w14:textId="77777777" w:rsidR="003F5C3F" w:rsidRDefault="003144CD">
            <w:pPr>
              <w:keepNext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11.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0" w14:textId="77777777" w:rsidR="003F5C3F" w:rsidRDefault="003144CD">
            <w:pPr>
              <w:keepNext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nustatytas baigtinis sąrašas motyvuotų atvejų, kai administracinė procedūra netaikoma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1" w14:textId="77777777" w:rsidR="003F5C3F" w:rsidRDefault="003144CD">
            <w:pPr>
              <w:keepNext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Kriterijus netaikomas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2" w14:textId="77777777" w:rsidR="003F5C3F" w:rsidRDefault="003F5C3F">
            <w:pPr>
              <w:keepNext/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3" w14:textId="77777777" w:rsidR="003F5C3F" w:rsidRDefault="003144CD">
            <w:pPr>
              <w:keepNext/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E4" w14:textId="77777777" w:rsidR="003F5C3F" w:rsidRDefault="003144CD">
            <w:pPr>
              <w:keepNext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EC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6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12.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7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projektas nustato jo </w:t>
            </w:r>
            <w:r>
              <w:rPr>
                <w:sz w:val="22"/>
                <w:szCs w:val="22"/>
                <w:lang w:eastAsia="lt-LT"/>
              </w:rPr>
              <w:t xml:space="preserve">nuostatoms įgyvendinti numatytų administracinių procedūrų ir </w:t>
            </w:r>
            <w:r>
              <w:rPr>
                <w:sz w:val="22"/>
                <w:szCs w:val="22"/>
                <w:lang w:eastAsia="lt-LT"/>
              </w:rPr>
              <w:lastRenderedPageBreak/>
              <w:t>sprendimo priėmimo konkrečius terminus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8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Taip (Nuostatų 30, 34, 50, 64 punktas)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9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A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EB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F3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D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13.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E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projektas nustato motyvuotas terminų sustabdymo ir pratęsimo </w:t>
            </w:r>
            <w:r>
              <w:rPr>
                <w:sz w:val="22"/>
                <w:szCs w:val="22"/>
                <w:lang w:eastAsia="lt-LT"/>
              </w:rPr>
              <w:t>galimybes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EF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Kriterijus netaikomas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0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1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F2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4FA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4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14.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5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projektas nustato administracinių procedūrų viešinimo tvarką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6" w14:textId="77777777" w:rsidR="003F5C3F" w:rsidRDefault="003144CD">
            <w:pPr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Taip (Nuostatų 48 punktas)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7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8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4F9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501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B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15.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C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projektas nustato kontrolės (priežiūros) </w:t>
            </w:r>
            <w:r>
              <w:rPr>
                <w:sz w:val="22"/>
                <w:szCs w:val="22"/>
                <w:lang w:eastAsia="lt-LT"/>
              </w:rPr>
              <w:t>procedūrą ir aiškius jos atlikimo kriterijus (atvejus, dažnį, fiksavimą, kontrolės rezultatų viešinimą ir panašiai)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D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Taip (Nuostatų 62, 64, 65, 66, 67, 68 punktai)  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E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4FF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500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508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02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16.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03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projekte nustatytos kontrolės (priežiūros) skaidrum</w:t>
            </w:r>
            <w:r>
              <w:rPr>
                <w:sz w:val="22"/>
                <w:szCs w:val="22"/>
                <w:lang w:eastAsia="lt-LT"/>
              </w:rPr>
              <w:t>o ir objektyvumo užtikrinimo priemonės</w:t>
            </w:r>
            <w:r>
              <w:rPr>
                <w:rStyle w:val="FootnoteAnchor"/>
                <w:sz w:val="22"/>
                <w:szCs w:val="22"/>
                <w:lang w:eastAsia="lt-LT"/>
              </w:rPr>
              <w:footnoteReference w:id="3"/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04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Taip (Nuostatų 62, 64, 65, 66, 67, 68 punktai)  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05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06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507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50F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09" w14:textId="77777777" w:rsidR="003F5C3F" w:rsidRDefault="003144CD">
            <w:pPr>
              <w:keepNext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17.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0A" w14:textId="77777777" w:rsidR="003F5C3F" w:rsidRDefault="003144CD">
            <w:pPr>
              <w:keepNext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projekte nustatyta subjektų, su kuriais susijęs teisės akto projekto nuostatų įgyvendinimas, atsakomybės rūšis </w:t>
            </w:r>
            <w:r>
              <w:rPr>
                <w:sz w:val="22"/>
                <w:szCs w:val="22"/>
                <w:lang w:eastAsia="lt-LT"/>
              </w:rPr>
              <w:t>(tarnybinė, administracinė, baudžiamoji ir panašiai)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0B" w14:textId="77777777" w:rsidR="003F5C3F" w:rsidRDefault="003144CD">
            <w:pPr>
              <w:keepNext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Taip (Nuostatų 56, 60, 69 punktas)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0C" w14:textId="77777777" w:rsidR="003F5C3F" w:rsidRDefault="003F5C3F">
            <w:pPr>
              <w:keepNext/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0D" w14:textId="77777777" w:rsidR="003F5C3F" w:rsidRDefault="003144CD">
            <w:pPr>
              <w:keepNext/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50E" w14:textId="77777777" w:rsidR="003F5C3F" w:rsidRDefault="003144CD">
            <w:pPr>
              <w:keepNext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516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10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18.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11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aktų projekte numatytas baigtinis sąrašas kriterijų, pagal </w:t>
            </w:r>
            <w:r>
              <w:rPr>
                <w:sz w:val="22"/>
                <w:szCs w:val="22"/>
                <w:lang w:eastAsia="lt-LT"/>
              </w:rPr>
              <w:lastRenderedPageBreak/>
              <w:t>kuriuos skiriama nuobauda (sankcija) už teisės akto projekte nustatytų nur</w:t>
            </w:r>
            <w:r>
              <w:rPr>
                <w:sz w:val="22"/>
                <w:szCs w:val="22"/>
                <w:lang w:eastAsia="lt-LT"/>
              </w:rPr>
              <w:t>odymų nevykdymą, ir nustatyta aiški jos skyrimo procedūra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12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Kriterijus netaikomas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13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14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515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  <w:tr w:rsidR="003F5C3F" w14:paraId="4795151D" w14:textId="77777777">
        <w:trPr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17" w14:textId="77777777" w:rsidR="003F5C3F" w:rsidRDefault="003144CD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19.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18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Kiti svarbūs kriterijai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19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1A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151B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rFonts w:ascii="MS Gothic" w:eastAsia="MS Gothic" w:hAnsi="MS Gothic"/>
                <w:sz w:val="22"/>
                <w:szCs w:val="22"/>
                <w:lang w:eastAsia="lt-LT"/>
              </w:rPr>
              <w:t>☒</w:t>
            </w:r>
            <w:r>
              <w:rPr>
                <w:sz w:val="22"/>
                <w:szCs w:val="22"/>
                <w:lang w:eastAsia="lt-LT"/>
              </w:rPr>
              <w:t xml:space="preserve"> tenkina</w:t>
            </w:r>
          </w:p>
          <w:p w14:paraId="4795151C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□ netenkina</w:t>
            </w:r>
          </w:p>
        </w:tc>
      </w:tr>
    </w:tbl>
    <w:p w14:paraId="4795151E" w14:textId="77777777" w:rsidR="003F5C3F" w:rsidRDefault="003F5C3F">
      <w:pPr>
        <w:tabs>
          <w:tab w:val="left" w:pos="6237"/>
        </w:tabs>
        <w:rPr>
          <w:color w:val="000000"/>
          <w:lang w:eastAsia="lt-LT"/>
        </w:rPr>
      </w:pPr>
    </w:p>
    <w:tbl>
      <w:tblPr>
        <w:tblW w:w="14519" w:type="dxa"/>
        <w:tblInd w:w="108" w:type="dxa"/>
        <w:tblLook w:val="04A0" w:firstRow="1" w:lastRow="0" w:firstColumn="1" w:lastColumn="0" w:noHBand="0" w:noVBand="1"/>
      </w:tblPr>
      <w:tblGrid>
        <w:gridCol w:w="2444"/>
        <w:gridCol w:w="4742"/>
        <w:gridCol w:w="2423"/>
        <w:gridCol w:w="4910"/>
      </w:tblGrid>
      <w:tr w:rsidR="003F5C3F" w14:paraId="47951524" w14:textId="77777777">
        <w:trPr>
          <w:trHeight w:val="23"/>
        </w:trPr>
        <w:tc>
          <w:tcPr>
            <w:tcW w:w="2443" w:type="dxa"/>
            <w:shd w:val="clear" w:color="auto" w:fill="auto"/>
          </w:tcPr>
          <w:p w14:paraId="4795151F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Teisės akto projekto tiesioginis rengėjas:</w:t>
            </w:r>
          </w:p>
        </w:tc>
        <w:tc>
          <w:tcPr>
            <w:tcW w:w="4742" w:type="dxa"/>
            <w:tcBorders>
              <w:bottom w:val="single" w:sz="4" w:space="0" w:color="000000"/>
            </w:tcBorders>
            <w:shd w:val="clear" w:color="auto" w:fill="auto"/>
          </w:tcPr>
          <w:p w14:paraId="47951520" w14:textId="77777777" w:rsidR="003F5C3F" w:rsidRDefault="003144CD">
            <w:pPr>
              <w:spacing w:after="24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Šiaulių miesto savivaldybės </w:t>
            </w:r>
            <w:r>
              <w:rPr>
                <w:sz w:val="22"/>
                <w:szCs w:val="22"/>
                <w:lang w:eastAsia="lt-LT"/>
              </w:rPr>
              <w:t xml:space="preserve">administracijos jaunimo reikalų koordinatorė (vyriausioji specialistė) Dalia </w:t>
            </w:r>
            <w:proofErr w:type="spellStart"/>
            <w:r>
              <w:rPr>
                <w:sz w:val="22"/>
                <w:szCs w:val="22"/>
                <w:lang w:eastAsia="lt-LT"/>
              </w:rPr>
              <w:t>Vietienė</w:t>
            </w:r>
            <w:proofErr w:type="spellEnd"/>
          </w:p>
        </w:tc>
        <w:tc>
          <w:tcPr>
            <w:tcW w:w="2423" w:type="dxa"/>
            <w:shd w:val="clear" w:color="auto" w:fill="auto"/>
          </w:tcPr>
          <w:p w14:paraId="47951521" w14:textId="77777777" w:rsidR="003F5C3F" w:rsidRDefault="003144CD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Teisės akto projekto vertintojas:            </w:t>
            </w:r>
          </w:p>
        </w:tc>
        <w:tc>
          <w:tcPr>
            <w:tcW w:w="4910" w:type="dxa"/>
            <w:tcBorders>
              <w:bottom w:val="single" w:sz="4" w:space="0" w:color="000000"/>
            </w:tcBorders>
            <w:shd w:val="clear" w:color="auto" w:fill="auto"/>
          </w:tcPr>
          <w:p w14:paraId="47951522" w14:textId="77777777" w:rsidR="003F5C3F" w:rsidRDefault="003144CD">
            <w:pPr>
              <w:tabs>
                <w:tab w:val="left" w:pos="4253"/>
                <w:tab w:val="right" w:pos="9570"/>
              </w:tabs>
              <w:spacing w:after="240"/>
              <w:jc w:val="both"/>
              <w:rPr>
                <w:szCs w:val="24"/>
              </w:rPr>
            </w:pPr>
            <w:r>
              <w:rPr>
                <w:szCs w:val="24"/>
              </w:rPr>
              <w:t>Šiaulių miesto savivaldybės administracijos Teisės skyriaus  vyriausioji specialistė Salomėja Buškienė</w:t>
            </w:r>
          </w:p>
          <w:p w14:paraId="47951523" w14:textId="77777777" w:rsidR="003F5C3F" w:rsidRDefault="003F5C3F">
            <w:pPr>
              <w:rPr>
                <w:color w:val="FF0000"/>
                <w:sz w:val="22"/>
                <w:szCs w:val="22"/>
                <w:lang w:eastAsia="lt-LT"/>
              </w:rPr>
            </w:pPr>
          </w:p>
        </w:tc>
      </w:tr>
      <w:tr w:rsidR="003F5C3F" w14:paraId="47951529" w14:textId="77777777">
        <w:trPr>
          <w:trHeight w:val="23"/>
        </w:trPr>
        <w:tc>
          <w:tcPr>
            <w:tcW w:w="2443" w:type="dxa"/>
            <w:shd w:val="clear" w:color="auto" w:fill="auto"/>
          </w:tcPr>
          <w:p w14:paraId="47951525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4742" w:type="dxa"/>
            <w:tcBorders>
              <w:top w:val="single" w:sz="4" w:space="0" w:color="000000"/>
            </w:tcBorders>
            <w:shd w:val="clear" w:color="auto" w:fill="auto"/>
          </w:tcPr>
          <w:p w14:paraId="47951526" w14:textId="77777777" w:rsidR="003F5C3F" w:rsidRDefault="003F5C3F">
            <w:pPr>
              <w:ind w:left="-11" w:firstLine="11"/>
              <w:rPr>
                <w:sz w:val="22"/>
                <w:szCs w:val="22"/>
                <w:lang w:eastAsia="lt-LT"/>
              </w:rPr>
            </w:pPr>
          </w:p>
        </w:tc>
        <w:tc>
          <w:tcPr>
            <w:tcW w:w="2423" w:type="dxa"/>
            <w:shd w:val="clear" w:color="auto" w:fill="auto"/>
          </w:tcPr>
          <w:p w14:paraId="47951527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4910" w:type="dxa"/>
            <w:tcBorders>
              <w:top w:val="single" w:sz="4" w:space="0" w:color="000000"/>
            </w:tcBorders>
            <w:shd w:val="clear" w:color="auto" w:fill="auto"/>
          </w:tcPr>
          <w:p w14:paraId="47951528" w14:textId="77777777" w:rsidR="003F5C3F" w:rsidRDefault="003F5C3F">
            <w:pPr>
              <w:ind w:left="-11" w:firstLine="11"/>
              <w:rPr>
                <w:sz w:val="22"/>
                <w:szCs w:val="22"/>
                <w:lang w:eastAsia="lt-LT"/>
              </w:rPr>
            </w:pPr>
          </w:p>
        </w:tc>
      </w:tr>
      <w:tr w:rsidR="003F5C3F" w14:paraId="4795152E" w14:textId="77777777">
        <w:trPr>
          <w:trHeight w:val="23"/>
        </w:trPr>
        <w:tc>
          <w:tcPr>
            <w:tcW w:w="2443" w:type="dxa"/>
            <w:shd w:val="clear" w:color="auto" w:fill="auto"/>
          </w:tcPr>
          <w:p w14:paraId="4795152A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4742" w:type="dxa"/>
            <w:tcBorders>
              <w:bottom w:val="single" w:sz="4" w:space="0" w:color="000000"/>
            </w:tcBorders>
            <w:shd w:val="clear" w:color="auto" w:fill="auto"/>
          </w:tcPr>
          <w:p w14:paraId="4795152B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423" w:type="dxa"/>
            <w:shd w:val="clear" w:color="auto" w:fill="auto"/>
          </w:tcPr>
          <w:p w14:paraId="4795152C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4910" w:type="dxa"/>
            <w:tcBorders>
              <w:bottom w:val="single" w:sz="4" w:space="0" w:color="000000"/>
            </w:tcBorders>
            <w:shd w:val="clear" w:color="auto" w:fill="auto"/>
          </w:tcPr>
          <w:p w14:paraId="4795152D" w14:textId="77777777" w:rsidR="003F5C3F" w:rsidRDefault="003F5C3F">
            <w:pPr>
              <w:ind w:left="-11" w:firstLine="11"/>
              <w:rPr>
                <w:sz w:val="22"/>
                <w:szCs w:val="22"/>
                <w:lang w:eastAsia="lt-LT"/>
              </w:rPr>
            </w:pPr>
          </w:p>
        </w:tc>
      </w:tr>
      <w:tr w:rsidR="003F5C3F" w14:paraId="47951533" w14:textId="77777777">
        <w:trPr>
          <w:trHeight w:val="23"/>
        </w:trPr>
        <w:tc>
          <w:tcPr>
            <w:tcW w:w="2443" w:type="dxa"/>
            <w:shd w:val="clear" w:color="auto" w:fill="auto"/>
          </w:tcPr>
          <w:p w14:paraId="4795152F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4742" w:type="dxa"/>
            <w:shd w:val="clear" w:color="auto" w:fill="auto"/>
          </w:tcPr>
          <w:p w14:paraId="47951530" w14:textId="77777777" w:rsidR="003F5C3F" w:rsidRDefault="003F5C3F">
            <w:pPr>
              <w:ind w:left="-11" w:firstLine="11"/>
              <w:rPr>
                <w:sz w:val="22"/>
                <w:szCs w:val="22"/>
                <w:lang w:eastAsia="lt-LT"/>
              </w:rPr>
            </w:pPr>
          </w:p>
        </w:tc>
        <w:tc>
          <w:tcPr>
            <w:tcW w:w="2423" w:type="dxa"/>
            <w:shd w:val="clear" w:color="auto" w:fill="auto"/>
          </w:tcPr>
          <w:p w14:paraId="47951531" w14:textId="77777777" w:rsidR="003F5C3F" w:rsidRDefault="003F5C3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4910" w:type="dxa"/>
            <w:tcBorders>
              <w:top w:val="single" w:sz="4" w:space="0" w:color="000000"/>
            </w:tcBorders>
            <w:shd w:val="clear" w:color="auto" w:fill="auto"/>
          </w:tcPr>
          <w:p w14:paraId="47951532" w14:textId="77777777" w:rsidR="003F5C3F" w:rsidRDefault="003F5C3F">
            <w:pPr>
              <w:ind w:left="-11" w:firstLine="64"/>
              <w:rPr>
                <w:sz w:val="22"/>
                <w:szCs w:val="22"/>
                <w:lang w:eastAsia="lt-LT"/>
              </w:rPr>
            </w:pPr>
          </w:p>
        </w:tc>
      </w:tr>
    </w:tbl>
    <w:p w14:paraId="47951534" w14:textId="77777777" w:rsidR="003F5C3F" w:rsidRDefault="003F5C3F">
      <w:pPr>
        <w:tabs>
          <w:tab w:val="left" w:pos="6237"/>
        </w:tabs>
        <w:rPr>
          <w:color w:val="000000"/>
          <w:lang w:eastAsia="lt-LT"/>
        </w:rPr>
      </w:pPr>
    </w:p>
    <w:p w14:paraId="47951535" w14:textId="77777777" w:rsidR="003F5C3F" w:rsidRDefault="003F5C3F">
      <w:pPr>
        <w:tabs>
          <w:tab w:val="left" w:pos="6237"/>
        </w:tabs>
        <w:rPr>
          <w:color w:val="000000"/>
          <w:lang w:eastAsia="lt-LT"/>
        </w:rPr>
      </w:pPr>
    </w:p>
    <w:p w14:paraId="47951536" w14:textId="77777777" w:rsidR="003F5C3F" w:rsidRDefault="003F5C3F">
      <w:pPr>
        <w:tabs>
          <w:tab w:val="left" w:pos="6237"/>
        </w:tabs>
        <w:rPr>
          <w:color w:val="000000"/>
          <w:lang w:eastAsia="lt-LT"/>
        </w:rPr>
      </w:pPr>
    </w:p>
    <w:p w14:paraId="47951537" w14:textId="77777777" w:rsidR="003F5C3F" w:rsidRDefault="003F5C3F">
      <w:pPr>
        <w:tabs>
          <w:tab w:val="left" w:pos="6237"/>
          <w:tab w:val="right" w:pos="8306"/>
        </w:tabs>
        <w:rPr>
          <w:lang w:eastAsia="lt-LT"/>
        </w:rPr>
      </w:pPr>
    </w:p>
    <w:sectPr w:rsidR="003F5C3F">
      <w:headerReference w:type="default" r:id="rId6"/>
      <w:pgSz w:w="16838" w:h="11906" w:orient="landscape"/>
      <w:pgMar w:top="1418" w:right="1077" w:bottom="1134" w:left="1134" w:header="567" w:footer="0" w:gutter="0"/>
      <w:pgNumType w:start="1"/>
      <w:cols w:space="1296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5153E" w14:textId="77777777" w:rsidR="00000000" w:rsidRDefault="003144CD">
      <w:r>
        <w:separator/>
      </w:r>
    </w:p>
  </w:endnote>
  <w:endnote w:type="continuationSeparator" w:id="0">
    <w:p w14:paraId="47951540" w14:textId="77777777" w:rsidR="00000000" w:rsidRDefault="0031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51538" w14:textId="77777777" w:rsidR="003F5C3F" w:rsidRDefault="003144CD">
      <w:r>
        <w:separator/>
      </w:r>
    </w:p>
  </w:footnote>
  <w:footnote w:type="continuationSeparator" w:id="0">
    <w:p w14:paraId="47951539" w14:textId="77777777" w:rsidR="003F5C3F" w:rsidRDefault="003144CD">
      <w:r>
        <w:continuationSeparator/>
      </w:r>
    </w:p>
  </w:footnote>
  <w:footnote w:id="1">
    <w:p w14:paraId="4795153C" w14:textId="77777777" w:rsidR="003F5C3F" w:rsidRDefault="003144CD">
      <w:pPr>
        <w:jc w:val="both"/>
        <w:rPr>
          <w:sz w:val="20"/>
        </w:rPr>
      </w:pPr>
      <w:r>
        <w:rPr>
          <w:rStyle w:val="FootnoteCharacters"/>
        </w:rPr>
        <w:footnoteRef/>
      </w:r>
      <w:r>
        <w:rPr>
          <w:sz w:val="20"/>
        </w:rPr>
        <w:t xml:space="preserve">Jeigu tas pats kriterijus taikomas kelioms teisės akto projekto nuostatoms, nurodyti ir konkrečias teisės akto projekto nuostatas, dėl kurių galima korupcijos rizika nepašalinta ar kuriai valdyti teisės akto </w:t>
      </w:r>
      <w:r>
        <w:rPr>
          <w:sz w:val="20"/>
        </w:rPr>
        <w:t>projekte nenumatyta priemonių.</w:t>
      </w:r>
    </w:p>
  </w:footnote>
  <w:footnote w:id="2">
    <w:p w14:paraId="4795153D" w14:textId="77777777" w:rsidR="003F5C3F" w:rsidRDefault="003144CD">
      <w:pPr>
        <w:jc w:val="both"/>
        <w:rPr>
          <w:sz w:val="20"/>
        </w:rPr>
      </w:pPr>
      <w:r>
        <w:rPr>
          <w:rStyle w:val="FootnoteCharacters"/>
        </w:rPr>
        <w:footnoteRef/>
      </w:r>
      <w:r>
        <w:rPr>
          <w:sz w:val="20"/>
        </w:rPr>
        <w:t xml:space="preserve"> </w:t>
      </w:r>
      <w:r>
        <w:rPr>
          <w:sz w:val="20"/>
        </w:rPr>
        <w:t>Tas pat.</w:t>
      </w:r>
    </w:p>
  </w:footnote>
  <w:footnote w:id="3">
    <w:p w14:paraId="4795153E" w14:textId="77777777" w:rsidR="003F5C3F" w:rsidRDefault="003144CD">
      <w:pPr>
        <w:jc w:val="both"/>
        <w:rPr>
          <w:sz w:val="20"/>
        </w:rPr>
      </w:pPr>
      <w:r>
        <w:rPr>
          <w:rStyle w:val="FootnoteCharacters"/>
        </w:rPr>
        <w:footnoteRef/>
      </w:r>
      <w:r>
        <w:rPr>
          <w:sz w:val="20"/>
        </w:rPr>
        <w:t>Pavyzdžiui, aiškiai ir išsamiai išdėstytos kontroliuojančio subjekto teisės ir pareigos, nustatyta standartizuota kontrolės atlikimo procedūra, reikalavimas fiksuoti atskirus kontrolės procedūros etapus ir jų rezu</w:t>
      </w:r>
      <w:r>
        <w:rPr>
          <w:sz w:val="20"/>
        </w:rPr>
        <w:t>ltatus, atsakingų specialistų rotacija, užkirstas kelias kontroliuojančio ir kontroliuojamo subjektų tiesioginiam kontaktui be liudininkų ir panašiai.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5153A" w14:textId="77777777" w:rsidR="003F5C3F" w:rsidRDefault="003144CD">
    <w:pPr>
      <w:pStyle w:val="Antrats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4795153B" w14:textId="77777777" w:rsidR="003F5C3F" w:rsidRDefault="003F5C3F">
    <w:pPr>
      <w:tabs>
        <w:tab w:val="center" w:pos="4153"/>
        <w:tab w:val="right" w:pos="8306"/>
      </w:tabs>
      <w:jc w:val="center"/>
      <w:rPr>
        <w:lang w:eastAsia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C3F"/>
    <w:rsid w:val="003144CD"/>
    <w:rsid w:val="003F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147E"/>
  <w15:docId w15:val="{A7BA3155-4694-4BEB-87F1-4090D366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41B1B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DebesliotekstasDiagrama">
    <w:name w:val="Debesėlio tekstas Diagrama"/>
    <w:link w:val="Debesliotekstas"/>
    <w:qFormat/>
    <w:rsid w:val="00AE3D40"/>
    <w:rPr>
      <w:rFonts w:ascii="Tahoma" w:hAnsi="Tahoma" w:cs="Tahoma"/>
      <w:sz w:val="16"/>
      <w:szCs w:val="16"/>
    </w:rPr>
  </w:style>
  <w:style w:type="character" w:customStyle="1" w:styleId="Vietosrezervavimoenklotekstas1">
    <w:name w:val="Vietos rezervavimo ženklo tekstas1"/>
    <w:qFormat/>
    <w:rsid w:val="00AE3D40"/>
    <w:rPr>
      <w:color w:val="808080"/>
    </w:rPr>
  </w:style>
  <w:style w:type="character" w:customStyle="1" w:styleId="PoratDiagrama">
    <w:name w:val="Poraštė Diagrama"/>
    <w:link w:val="Porat"/>
    <w:qFormat/>
    <w:rsid w:val="00C97D26"/>
    <w:rPr>
      <w:sz w:val="24"/>
      <w:lang w:eastAsia="en-US"/>
    </w:rPr>
  </w:style>
  <w:style w:type="character" w:customStyle="1" w:styleId="AntratsDiagrama">
    <w:name w:val="Antraštės Diagrama"/>
    <w:link w:val="Antrats"/>
    <w:uiPriority w:val="99"/>
    <w:qFormat/>
    <w:rsid w:val="00C97D26"/>
    <w:rPr>
      <w:sz w:val="24"/>
      <w:lang w:eastAsia="en-US"/>
    </w:rPr>
  </w:style>
  <w:style w:type="character" w:customStyle="1" w:styleId="PagrindinistekstasDiagrama">
    <w:name w:val="Pagrindinis tekstas Diagrama"/>
    <w:link w:val="Pagrindinistekstas"/>
    <w:qFormat/>
    <w:rsid w:val="005078A5"/>
    <w:rPr>
      <w:sz w:val="24"/>
      <w:szCs w:val="24"/>
      <w:lang w:eastAsia="en-US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link w:val="PagrindinistekstasDiagrama"/>
    <w:rsid w:val="005078A5"/>
    <w:pPr>
      <w:spacing w:after="120"/>
      <w:jc w:val="center"/>
    </w:pPr>
    <w:rPr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Debesliotekstas">
    <w:name w:val="Balloon Text"/>
    <w:basedOn w:val="prastasis"/>
    <w:link w:val="DebesliotekstasDiagrama"/>
    <w:qFormat/>
    <w:rsid w:val="00AE3D40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prastasis"/>
    <w:qFormat/>
  </w:style>
  <w:style w:type="paragraph" w:styleId="Porat">
    <w:name w:val="footer"/>
    <w:basedOn w:val="prastasis"/>
    <w:link w:val="PoratDiagrama"/>
    <w:rsid w:val="00C97D26"/>
    <w:pPr>
      <w:tabs>
        <w:tab w:val="center" w:pos="4819"/>
        <w:tab w:val="right" w:pos="9638"/>
      </w:tabs>
    </w:pPr>
  </w:style>
  <w:style w:type="paragraph" w:styleId="Antrats">
    <w:name w:val="header"/>
    <w:basedOn w:val="prastasis"/>
    <w:link w:val="AntratsDiagrama"/>
    <w:uiPriority w:val="99"/>
    <w:rsid w:val="00C97D26"/>
    <w:pPr>
      <w:tabs>
        <w:tab w:val="center" w:pos="4819"/>
        <w:tab w:val="right" w:pos="9638"/>
      </w:tabs>
    </w:pPr>
  </w:style>
  <w:style w:type="paragraph" w:customStyle="1" w:styleId="DiagramaDiagrama">
    <w:name w:val="Diagrama Diagrama"/>
    <w:basedOn w:val="prastasis"/>
    <w:qFormat/>
    <w:rsid w:val="005078A5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30BAD"/>
    <w:pPr>
      <w:ind w:left="720"/>
      <w:contextualSpacing/>
    </w:pPr>
  </w:style>
  <w:style w:type="paragraph" w:styleId="Puslapioinaostekstas">
    <w:name w:val="footnote text"/>
    <w:basedOn w:val="prastasi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3637</Words>
  <Characters>2074</Characters>
  <Application>Microsoft Office Word</Application>
  <DocSecurity>0</DocSecurity>
  <Lines>17</Lines>
  <Paragraphs>11</Paragraphs>
  <ScaleCrop>false</ScaleCrop>
  <Company>LRVK</Company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Teisės aktų projektų antikorupcinio vertinimo taisyklių</dc:title>
  <dc:creator>lrvk</dc:creator>
  <cp:lastModifiedBy>Salomėja Buškienė</cp:lastModifiedBy>
  <cp:revision>2</cp:revision>
  <cp:lastPrinted>2019-12-16T06:27:00Z</cp:lastPrinted>
  <dcterms:created xsi:type="dcterms:W3CDTF">2021-08-03T08:37:00Z</dcterms:created>
  <dcterms:modified xsi:type="dcterms:W3CDTF">2021-08-03T08:37:00Z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LRVK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